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python-pylons-sphinx-themes 1.0.13</w:t>
      </w:r>
    </w:p>
    <w:p>
      <w:pPr/>
      <w:r>
        <w:rPr>
          <w:rStyle w:val="a0"/>
          <w:rFonts w:ascii="Arial" w:hAnsi="Arial"/>
          <w:b/>
        </w:rPr>
        <w:t xml:space="preserve">Copyright notice: </w:t>
      </w:r>
    </w:p>
    <w:p>
      <w:pPr/>
      <w:r>
        <w:rPr>
          <w:rStyle w:val="a0"/>
          <w:rFonts w:ascii="宋体" w:hAnsi="宋体"/>
          <w:sz w:val="22"/>
        </w:rPr>
        <w:t>Copyright (c) 2015 Agendaless Consulting and Contributors.</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